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autoSpaceDE w:val="0"/>
        <w:autoSpaceDN w:val="0"/>
        <w:adjustRightInd w:val="0"/>
        <w:spacing w:line="360" w:lineRule="auto"/>
        <w:ind w:firstLine="560" w:firstLineChars="200"/>
        <w:jc w:val="center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年国家级能力验证样品检测结果报告单（项目编号：CNCA-2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-0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</w:t>
      </w: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仿宋_GB2312"/>
          <w:b/>
          <w:bCs/>
          <w:kern w:val="0"/>
          <w:sz w:val="24"/>
          <w:lang w:val="zh-CN"/>
        </w:rPr>
      </w:pPr>
      <w:r>
        <w:rPr>
          <w:rFonts w:hint="eastAsia" w:ascii="宋体" w:hAnsi="宋体" w:cs="仿宋_GB2312"/>
          <w:kern w:val="0"/>
          <w:sz w:val="24"/>
          <w:lang w:val="zh-CN"/>
        </w:rPr>
        <w:t>检验检测机构代码：</w:t>
      </w:r>
      <w:r>
        <w:rPr>
          <w:rFonts w:ascii="宋体" w:hAnsi="宋体" w:cs="仿宋_GB2312"/>
          <w:kern w:val="0"/>
          <w:sz w:val="24"/>
          <w:lang w:val="zh-CN"/>
        </w:rPr>
        <w:t xml:space="preserve">                               </w:t>
      </w:r>
    </w:p>
    <w:tbl>
      <w:tblPr>
        <w:tblStyle w:val="2"/>
        <w:tblW w:w="1458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181"/>
        <w:gridCol w:w="1275"/>
        <w:gridCol w:w="1276"/>
        <w:gridCol w:w="3356"/>
        <w:gridCol w:w="1134"/>
        <w:gridCol w:w="1180"/>
        <w:gridCol w:w="1088"/>
        <w:gridCol w:w="1134"/>
        <w:gridCol w:w="11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样品编号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检测结果</w:t>
            </w:r>
          </w:p>
          <w:p>
            <w:pPr>
              <w:jc w:val="center"/>
              <w:rPr>
                <w:rFonts w:hint="eastAsia"/>
              </w:rPr>
            </w:pPr>
            <w: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μ</w:t>
            </w:r>
            <w:r>
              <w:rPr>
                <w:rFonts w:hint="eastAsia" w:ascii="宋体" w:hAnsi="宋体" w:cs="宋体"/>
                <w:sz w:val="24"/>
              </w:rPr>
              <w:t>g/L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平均结果</w:t>
            </w:r>
          </w:p>
          <w:p>
            <w:pPr>
              <w:jc w:val="center"/>
              <w:rPr>
                <w:rFonts w:hint="eastAsia"/>
              </w:rPr>
            </w:pPr>
            <w: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μ</w:t>
            </w:r>
            <w:r>
              <w:rPr>
                <w:rFonts w:hint="eastAsia" w:ascii="宋体" w:hAnsi="宋体" w:cs="宋体"/>
                <w:sz w:val="24"/>
              </w:rPr>
              <w:t>g/L</w:t>
            </w:r>
            <w:r>
              <w:rPr>
                <w:rFonts w:hint="eastAsia"/>
              </w:rPr>
              <w:t>）</w:t>
            </w:r>
          </w:p>
        </w:tc>
        <w:tc>
          <w:tcPr>
            <w:tcW w:w="33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检测方法全称及编号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检测仪器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仪器编号</w:t>
            </w:r>
          </w:p>
        </w:tc>
        <w:tc>
          <w:tcPr>
            <w:tcW w:w="1088" w:type="dxa"/>
            <w:vAlign w:val="center"/>
          </w:tcPr>
          <w:p>
            <w:r>
              <w:rPr>
                <w:rFonts w:hint="eastAsia"/>
              </w:rPr>
              <w:t>检测日期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检测人员签字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校核人员签字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827" w:type="dxa"/>
            <w:vAlign w:val="center"/>
          </w:tcPr>
          <w:p/>
        </w:tc>
        <w:tc>
          <w:tcPr>
            <w:tcW w:w="1181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3356" w:type="dxa"/>
            <w:vMerge w:val="restart"/>
            <w:vAlign w:val="center"/>
          </w:tcPr>
          <w:p/>
        </w:tc>
        <w:tc>
          <w:tcPr>
            <w:tcW w:w="1134" w:type="dxa"/>
            <w:vMerge w:val="restart"/>
            <w:vAlign w:val="center"/>
          </w:tcPr>
          <w:p/>
        </w:tc>
        <w:tc>
          <w:tcPr>
            <w:tcW w:w="1180" w:type="dxa"/>
            <w:vMerge w:val="restart"/>
            <w:vAlign w:val="center"/>
          </w:tcPr>
          <w:p/>
        </w:tc>
        <w:tc>
          <w:tcPr>
            <w:tcW w:w="1088" w:type="dxa"/>
            <w:vMerge w:val="restart"/>
            <w:vAlign w:val="center"/>
          </w:tcPr>
          <w:p/>
        </w:tc>
        <w:tc>
          <w:tcPr>
            <w:tcW w:w="1134" w:type="dxa"/>
            <w:vMerge w:val="restart"/>
            <w:vAlign w:val="center"/>
          </w:tcPr>
          <w:p/>
        </w:tc>
        <w:tc>
          <w:tcPr>
            <w:tcW w:w="1134" w:type="dxa"/>
            <w:vMerge w:val="restart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827" w:type="dxa"/>
            <w:vAlign w:val="center"/>
          </w:tcPr>
          <w:p/>
        </w:tc>
        <w:tc>
          <w:tcPr>
            <w:tcW w:w="1181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1276" w:type="dxa"/>
            <w:vAlign w:val="center"/>
          </w:tcPr>
          <w:p/>
        </w:tc>
        <w:tc>
          <w:tcPr>
            <w:tcW w:w="3356" w:type="dxa"/>
            <w:vMerge w:val="continue"/>
            <w:tcBorders/>
            <w:vAlign w:val="center"/>
          </w:tcPr>
          <w:p/>
        </w:tc>
        <w:tc>
          <w:tcPr>
            <w:tcW w:w="1134" w:type="dxa"/>
            <w:vMerge w:val="continue"/>
            <w:tcBorders/>
            <w:vAlign w:val="center"/>
          </w:tcPr>
          <w:p/>
        </w:tc>
        <w:tc>
          <w:tcPr>
            <w:tcW w:w="1180" w:type="dxa"/>
            <w:vMerge w:val="continue"/>
            <w:tcBorders/>
            <w:vAlign w:val="center"/>
          </w:tcPr>
          <w:p/>
        </w:tc>
        <w:tc>
          <w:tcPr>
            <w:tcW w:w="1088" w:type="dxa"/>
            <w:vMerge w:val="continue"/>
            <w:tcBorders/>
            <w:vAlign w:val="center"/>
          </w:tcPr>
          <w:p/>
        </w:tc>
        <w:tc>
          <w:tcPr>
            <w:tcW w:w="1134" w:type="dxa"/>
            <w:vMerge w:val="continue"/>
            <w:tcBorders/>
            <w:vAlign w:val="center"/>
          </w:tcPr>
          <w:p/>
        </w:tc>
        <w:tc>
          <w:tcPr>
            <w:tcW w:w="1134" w:type="dxa"/>
            <w:vMerge w:val="continue"/>
            <w:tcBorders/>
            <w:vAlign w:val="center"/>
          </w:tcPr>
          <w:p/>
        </w:tc>
      </w:tr>
    </w:tbl>
    <w:p>
      <w:pPr>
        <w:spacing w:before="156" w:beforeLines="50" w:line="300" w:lineRule="auto"/>
        <w:jc w:val="left"/>
        <w:rPr>
          <w:rFonts w:eastAsia="仿宋_GB2312"/>
          <w:color w:val="000000"/>
          <w:sz w:val="24"/>
          <w:lang w:val="en-IE"/>
        </w:rPr>
      </w:pPr>
      <w:r>
        <w:rPr>
          <w:rFonts w:hint="eastAsia" w:eastAsia="仿宋_GB2312"/>
          <w:color w:val="000000"/>
          <w:sz w:val="24"/>
          <w:lang w:val="en-IE"/>
        </w:rPr>
        <w:t>注：</w:t>
      </w:r>
      <w:r>
        <w:rPr>
          <w:rFonts w:eastAsia="仿宋_GB2312"/>
          <w:color w:val="000000"/>
          <w:sz w:val="24"/>
          <w:lang w:val="en-IE"/>
        </w:rPr>
        <w:t xml:space="preserve"> </w:t>
      </w:r>
      <w:r>
        <w:rPr>
          <w:rFonts w:hint="eastAsia" w:eastAsia="仿宋_GB2312"/>
          <w:color w:val="000000"/>
          <w:sz w:val="24"/>
          <w:lang w:val="en-IE"/>
        </w:rPr>
        <w:t>1、“检测结果”栏中的质量浓度（</w:t>
      </w:r>
      <w:r>
        <w:rPr>
          <w:rFonts w:hint="eastAsia" w:eastAsia="仿宋_GB2312"/>
          <w:b/>
          <w:color w:val="000000"/>
          <w:sz w:val="24"/>
          <w:lang w:val="en-IE"/>
        </w:rPr>
        <w:t>稀释</w:t>
      </w:r>
      <w:r>
        <w:rPr>
          <w:rFonts w:hint="eastAsia" w:eastAsia="仿宋_GB2312"/>
          <w:b/>
          <w:color w:val="000000"/>
          <w:sz w:val="24"/>
          <w:lang w:val="en-US" w:eastAsia="zh-CN"/>
        </w:rPr>
        <w:t>后</w:t>
      </w:r>
      <w:r>
        <w:rPr>
          <w:rFonts w:hint="eastAsia" w:eastAsia="仿宋_GB2312"/>
          <w:color w:val="000000"/>
          <w:sz w:val="24"/>
          <w:lang w:val="en-IE"/>
        </w:rPr>
        <w:t>）单位为</w:t>
      </w:r>
      <w:r>
        <w:rPr>
          <w:rFonts w:hint="eastAsia" w:ascii="宋体" w:hAnsi="宋体" w:eastAsia="宋体" w:cs="宋体"/>
          <w:b/>
          <w:bCs/>
          <w:sz w:val="24"/>
        </w:rPr>
        <w:t>μ</w:t>
      </w:r>
      <w:r>
        <w:rPr>
          <w:rFonts w:hint="eastAsia" w:ascii="宋体" w:hAnsi="宋体" w:cs="宋体"/>
          <w:b/>
          <w:bCs/>
          <w:sz w:val="24"/>
        </w:rPr>
        <w:t>g/L</w:t>
      </w:r>
      <w:r>
        <w:rPr>
          <w:rFonts w:hint="eastAsia" w:ascii="宋体" w:hAnsi="宋体" w:cs="宋体"/>
          <w:sz w:val="24"/>
        </w:rPr>
        <w:t>。</w:t>
      </w:r>
    </w:p>
    <w:p>
      <w:pPr>
        <w:adjustRightInd w:val="0"/>
        <w:snapToGrid w:val="0"/>
        <w:spacing w:line="300" w:lineRule="auto"/>
        <w:ind w:firstLine="600" w:firstLineChars="250"/>
        <w:rPr>
          <w:rFonts w:eastAsia="仿宋_GB2312"/>
          <w:color w:val="000000"/>
          <w:sz w:val="24"/>
          <w:lang w:val="en-IE"/>
        </w:rPr>
      </w:pPr>
      <w:r>
        <w:rPr>
          <w:rFonts w:hint="eastAsia" w:eastAsia="仿宋_GB2312"/>
          <w:color w:val="000000"/>
          <w:sz w:val="24"/>
          <w:lang w:val="en-IE"/>
        </w:rPr>
        <w:t>2、报告单不得涂改，并请提交</w:t>
      </w:r>
      <w:r>
        <w:rPr>
          <w:rFonts w:hint="eastAsia" w:eastAsia="仿宋_GB2312"/>
          <w:sz w:val="24"/>
        </w:rPr>
        <w:t>检测过程可溯源的</w:t>
      </w:r>
      <w:r>
        <w:rPr>
          <w:rFonts w:hint="eastAsia" w:eastAsia="仿宋_GB2312"/>
          <w:b/>
          <w:bCs/>
          <w:sz w:val="24"/>
        </w:rPr>
        <w:t>完整原始记录</w:t>
      </w:r>
      <w:r>
        <w:rPr>
          <w:rFonts w:hint="eastAsia" w:eastAsia="仿宋_GB2312"/>
          <w:sz w:val="24"/>
        </w:rPr>
        <w:t>（含</w:t>
      </w:r>
      <w:r>
        <w:rPr>
          <w:rFonts w:hint="eastAsia" w:ascii="仿宋_GB2312" w:eastAsia="仿宋_GB2312"/>
          <w:sz w:val="24"/>
          <w:lang w:val="en-IE"/>
        </w:rPr>
        <w:t>所使用的仪器的检定/校准/内部校准证书</w:t>
      </w:r>
      <w:bookmarkStart w:id="0" w:name="_GoBack"/>
      <w:bookmarkEnd w:id="0"/>
      <w:r>
        <w:rPr>
          <w:rFonts w:hint="eastAsia" w:ascii="仿宋_GB2312" w:eastAsia="仿宋_GB2312"/>
          <w:sz w:val="24"/>
          <w:lang w:val="en-IE"/>
        </w:rPr>
        <w:t>或报告完整复印件、使用的标准物质证书完整复印件、试剂（含批号和纯度）和</w:t>
      </w:r>
      <w:r>
        <w:rPr>
          <w:rFonts w:hint="eastAsia" w:eastAsia="仿宋_GB2312"/>
          <w:sz w:val="24"/>
        </w:rPr>
        <w:t>标准物质/标准样品（含编号）配置记录、能力验证</w:t>
      </w:r>
      <w:r>
        <w:rPr>
          <w:rFonts w:hint="eastAsia" w:eastAsia="仿宋_GB2312"/>
          <w:sz w:val="24"/>
          <w:lang w:val="en-IE"/>
        </w:rPr>
        <w:t>样品</w:t>
      </w:r>
      <w:r>
        <w:rPr>
          <w:rFonts w:hint="eastAsia" w:eastAsia="仿宋_GB2312"/>
          <w:sz w:val="24"/>
        </w:rPr>
        <w:t>检测</w:t>
      </w:r>
      <w:r>
        <w:rPr>
          <w:rFonts w:hint="eastAsia" w:eastAsia="仿宋_GB2312"/>
          <w:sz w:val="24"/>
          <w:lang w:val="en-IE"/>
        </w:rPr>
        <w:t>原始记录、计算过程等）</w:t>
      </w:r>
      <w:r>
        <w:rPr>
          <w:rFonts w:hint="eastAsia" w:eastAsia="仿宋_GB2312"/>
          <w:color w:val="000000"/>
          <w:sz w:val="24"/>
          <w:lang w:val="en-IE"/>
        </w:rPr>
        <w:t>，可另附页说明实验过程中出现的问题或异常现象。</w:t>
      </w:r>
    </w:p>
    <w:p>
      <w:pPr>
        <w:adjustRightInd w:val="0"/>
        <w:snapToGrid w:val="0"/>
        <w:spacing w:line="300" w:lineRule="auto"/>
        <w:ind w:firstLine="600" w:firstLineChars="250"/>
        <w:rPr>
          <w:rFonts w:eastAsia="仿宋_GB2312"/>
          <w:sz w:val="24"/>
        </w:rPr>
      </w:pPr>
      <w:r>
        <w:rPr>
          <w:rFonts w:hint="eastAsia" w:eastAsia="仿宋_GB2312"/>
          <w:color w:val="000000"/>
          <w:sz w:val="24"/>
          <w:lang w:val="en-IE"/>
        </w:rPr>
        <w:t>3、</w:t>
      </w:r>
      <w:r>
        <w:rPr>
          <w:rFonts w:eastAsia="仿宋_GB2312"/>
          <w:sz w:val="24"/>
        </w:rPr>
        <w:t>本次能力验证的实际检测方法应与</w:t>
      </w:r>
      <w:r>
        <w:rPr>
          <w:rFonts w:eastAsia="仿宋_GB2312"/>
          <w:color w:val="000000"/>
          <w:sz w:val="24"/>
          <w:lang w:val="en-IE"/>
        </w:rPr>
        <w:t>《</w:t>
      </w:r>
      <w:r>
        <w:rPr>
          <w:rFonts w:hint="eastAsia" w:eastAsia="仿宋_GB2312"/>
          <w:sz w:val="24"/>
        </w:rPr>
        <w:t>202</w:t>
      </w:r>
      <w:r>
        <w:rPr>
          <w:rFonts w:hint="eastAsia" w:eastAsia="仿宋_GB2312"/>
          <w:sz w:val="24"/>
          <w:lang w:val="en-US" w:eastAsia="zh-CN"/>
        </w:rPr>
        <w:t>4</w:t>
      </w:r>
      <w:r>
        <w:rPr>
          <w:rFonts w:hint="eastAsia" w:eastAsia="仿宋_GB2312"/>
          <w:sz w:val="24"/>
        </w:rPr>
        <w:t>年国家级能力验证项目报名表</w:t>
      </w:r>
      <w:r>
        <w:rPr>
          <w:rFonts w:eastAsia="仿宋_GB2312"/>
          <w:color w:val="000000"/>
          <w:sz w:val="24"/>
          <w:lang w:val="en-IE"/>
        </w:rPr>
        <w:t>》中的相同</w:t>
      </w:r>
      <w:r>
        <w:rPr>
          <w:rFonts w:eastAsia="仿宋_GB2312"/>
          <w:sz w:val="24"/>
        </w:rPr>
        <w:t>，</w:t>
      </w:r>
      <w:r>
        <w:rPr>
          <w:rFonts w:eastAsia="仿宋_GB2312"/>
          <w:b/>
          <w:sz w:val="24"/>
        </w:rPr>
        <w:t>如有变化需提交变更说明</w:t>
      </w:r>
      <w:r>
        <w:rPr>
          <w:rFonts w:hint="eastAsia" w:eastAsia="仿宋_GB2312"/>
          <w:sz w:val="24"/>
        </w:rPr>
        <w:t>。</w:t>
      </w:r>
    </w:p>
    <w:p>
      <w:pPr>
        <w:spacing w:line="360" w:lineRule="exact"/>
        <w:ind w:firstLine="374" w:firstLineChars="156"/>
        <w:rPr>
          <w:rFonts w:eastAsia="仿宋_GB2312"/>
          <w:color w:val="000000"/>
          <w:sz w:val="24"/>
          <w:lang w:val="en-IE"/>
        </w:rPr>
      </w:pPr>
      <w:r>
        <w:rPr>
          <w:rFonts w:eastAsia="仿宋_GB2312"/>
          <w:color w:val="000000"/>
          <w:sz w:val="24"/>
          <w:lang w:val="en-IE"/>
        </w:rPr>
        <w:t xml:space="preserve">                                                                                      </w:t>
      </w:r>
    </w:p>
    <w:p>
      <w:pPr>
        <w:spacing w:line="360" w:lineRule="exact"/>
        <w:ind w:firstLine="374" w:firstLineChars="156"/>
        <w:rPr>
          <w:rFonts w:eastAsia="仿宋_GB2312"/>
          <w:color w:val="000000"/>
          <w:sz w:val="24"/>
          <w:lang w:val="en-IE"/>
        </w:rPr>
      </w:pPr>
      <w:r>
        <w:rPr>
          <w:rFonts w:hint="eastAsia" w:eastAsia="仿宋_GB2312"/>
          <w:color w:val="000000"/>
          <w:sz w:val="24"/>
          <w:lang w:val="en-IE"/>
        </w:rPr>
        <w:t xml:space="preserve">                                                                   负责人（签字）：</w:t>
      </w:r>
      <w:r>
        <w:rPr>
          <w:rFonts w:eastAsia="仿宋_GB2312"/>
          <w:color w:val="000000"/>
          <w:sz w:val="24"/>
          <w:u w:val="single"/>
          <w:lang w:val="en-IE"/>
        </w:rPr>
        <w:t xml:space="preserve">        </w:t>
      </w:r>
      <w:r>
        <w:rPr>
          <w:rFonts w:hint="eastAsia" w:eastAsia="仿宋_GB2312"/>
          <w:color w:val="000000"/>
          <w:sz w:val="24"/>
          <w:u w:val="single"/>
          <w:lang w:val="en-IE"/>
        </w:rPr>
        <w:t xml:space="preserve">      </w:t>
      </w:r>
      <w:r>
        <w:rPr>
          <w:rFonts w:eastAsia="仿宋_GB2312"/>
          <w:color w:val="000000"/>
          <w:sz w:val="24"/>
          <w:u w:val="single"/>
          <w:lang w:val="en-IE"/>
        </w:rPr>
        <w:t xml:space="preserve">     </w:t>
      </w:r>
      <w:r>
        <w:rPr>
          <w:rFonts w:eastAsia="仿宋_GB2312"/>
          <w:color w:val="000000"/>
          <w:sz w:val="24"/>
          <w:lang w:val="en-IE"/>
        </w:rPr>
        <w:t xml:space="preserve"> </w:t>
      </w:r>
      <w:r>
        <w:rPr>
          <w:rFonts w:hint="eastAsia" w:eastAsia="仿宋_GB2312"/>
          <w:color w:val="000000"/>
          <w:sz w:val="24"/>
          <w:lang w:val="en-IE"/>
        </w:rPr>
        <w:t xml:space="preserve">                                 </w:t>
      </w:r>
    </w:p>
    <w:p>
      <w:pPr>
        <w:spacing w:line="520" w:lineRule="exact"/>
        <w:ind w:firstLine="374" w:firstLineChars="156"/>
      </w:pPr>
      <w:r>
        <w:rPr>
          <w:rFonts w:hint="eastAsia" w:eastAsia="仿宋_GB2312"/>
          <w:color w:val="000000"/>
          <w:sz w:val="24"/>
          <w:lang w:val="en-IE"/>
        </w:rPr>
        <w:t xml:space="preserve">                                                                   检验检测机构公章：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DE3MjM4NTQ3MWJhNTZiYzAxMDRmMTMyOTQ2NDYifQ=="/>
  </w:docVars>
  <w:rsids>
    <w:rsidRoot w:val="00BB1C85"/>
    <w:rsid w:val="00150DC1"/>
    <w:rsid w:val="00501A1D"/>
    <w:rsid w:val="006939F2"/>
    <w:rsid w:val="00BB1C85"/>
    <w:rsid w:val="00BE1FD2"/>
    <w:rsid w:val="00DB7300"/>
    <w:rsid w:val="16E440AD"/>
    <w:rsid w:val="6987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325</Words>
  <Characters>349</Characters>
  <Lines>4</Lines>
  <Paragraphs>1</Paragraphs>
  <TotalTime>1</TotalTime>
  <ScaleCrop>false</ScaleCrop>
  <LinksUpToDate>false</LinksUpToDate>
  <CharactersWithSpaces>654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2020-06-19T13:03:00Z</dcterms:created>
  <dc:creator>微软用户</dc:creator>
  <cp:lastModifiedBy>Admin</cp:lastModifiedBy>
  <dcterms:modified xsi:type="dcterms:W3CDTF">2024-06-19T02:50:47Z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144830EC9FB246FA8656ECCB889D1DEA_12</vt:lpwstr>
  </property>
</Properties>
</file>